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AB7947" w:rsidRPr="00AB7947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vinhos, licores e outras bebidas alcoólicas semelhantes, excluindo aguardentes, cervejas, chopes e maltes, exceto produção artesanal no interior de propriedade rural.</w:t>
      </w:r>
      <w:r w:rsidR="00AB7947" w:rsidRPr="00AB7947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AB7947">
        <w:rPr>
          <w:rFonts w:ascii="Arial" w:hAnsi="Arial" w:cs="Arial"/>
          <w:sz w:val="20"/>
          <w:szCs w:val="20"/>
        </w:rPr>
        <w:t>6.03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B794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64EAC-8A8F-4A3D-BF7F-E4B6AAA78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19</Pages>
  <Words>5620</Words>
  <Characters>30351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2025-07-14T10:46:00Z</dcterms:modified>
</cp:coreProperties>
</file>