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116055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116055" w:rsidRPr="00116055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refrigerantes e outras bebidas não alcoólicas, exceto sucos e concentrados para sucos</w:t>
      </w:r>
      <w:r w:rsidR="00116055" w:rsidRPr="00116055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.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116055">
        <w:rPr>
          <w:rFonts w:ascii="Arial" w:hAnsi="Arial" w:cs="Arial"/>
          <w:sz w:val="20"/>
          <w:szCs w:val="20"/>
        </w:rPr>
        <w:t>6.06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16055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CA7C23-DB4B-460D-9808-D3C9FC30D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19</Pages>
  <Words>5607</Words>
  <Characters>30284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15</cp:revision>
  <dcterms:created xsi:type="dcterms:W3CDTF">2020-01-28T18:42:00Z</dcterms:created>
  <dcterms:modified xsi:type="dcterms:W3CDTF">2025-07-14T10:52:00Z</dcterms:modified>
</cp:coreProperties>
</file>