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309B3" w:rsidRPr="007309B3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7309B3" w:rsidRPr="007309B3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concentrados aromáticos naturais, artificiais e sintéticos</w:t>
      </w:r>
      <w:r w:rsidR="007309B3" w:rsidRPr="007309B3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.</w:t>
      </w:r>
      <w:r w:rsidR="007309B3" w:rsidRPr="007309B3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7309B3">
        <w:rPr>
          <w:rFonts w:ascii="Arial" w:hAnsi="Arial" w:cs="Arial"/>
          <w:sz w:val="20"/>
          <w:szCs w:val="20"/>
        </w:rPr>
        <w:t>11.05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09B3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C06E12-F54F-484B-BFA9-BBD025CE8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19</Pages>
  <Words>5603</Words>
  <Characters>30261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10</cp:revision>
  <dcterms:created xsi:type="dcterms:W3CDTF">2020-01-28T18:42:00Z</dcterms:created>
  <dcterms:modified xsi:type="dcterms:W3CDTF">2025-07-10T16:30:00Z</dcterms:modified>
</cp:coreProperties>
</file>