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D47F2B" w:rsidRPr="00D47F2B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Complexo industrial e agroindustrial, vinculado à grupo ou segmento de atividade específica.</w:t>
      </w:r>
      <w:r w:rsidR="00D47F2B" w:rsidRPr="00D47F2B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D47F2B">
        <w:rPr>
          <w:rFonts w:ascii="Arial" w:hAnsi="Arial" w:cs="Arial"/>
          <w:sz w:val="20"/>
          <w:szCs w:val="20"/>
        </w:rPr>
        <w:t>8.0</w:t>
      </w:r>
      <w:bookmarkStart w:id="0" w:name="_GoBack"/>
      <w:bookmarkEnd w:id="0"/>
      <w:r w:rsidR="004E1EFD">
        <w:rPr>
          <w:rFonts w:ascii="Arial" w:hAnsi="Arial" w:cs="Arial"/>
          <w:sz w:val="20"/>
          <w:szCs w:val="20"/>
        </w:rPr>
        <w:t>5</w:t>
      </w:r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47F2B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DEC9D-C030-41B4-A0A8-E946F1B35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19</Pages>
  <Words>5606</Words>
  <Characters>30277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2025-07-14T12:01:00Z</dcterms:modified>
</cp:coreProperties>
</file>